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3231E" w:rsidRDefault="00E3231E" w:rsidP="008C2323">
      <w:pPr>
        <w:pStyle w:val="Nadpis4"/>
        <w:spacing w:line="300" w:lineRule="exact"/>
      </w:pPr>
      <w:r>
        <w:t>TECHNICKÁ ZPRÁVA</w:t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Název akce:</w:t>
      </w:r>
      <w:r>
        <w:rPr>
          <w:i/>
          <w:sz w:val="24"/>
        </w:rPr>
        <w:tab/>
        <w:t xml:space="preserve">Dokumentace </w:t>
      </w:r>
      <w:r w:rsidR="00F803B1">
        <w:rPr>
          <w:i/>
          <w:sz w:val="24"/>
        </w:rPr>
        <w:t xml:space="preserve">zadání </w:t>
      </w:r>
      <w:r>
        <w:rPr>
          <w:i/>
          <w:sz w:val="24"/>
        </w:rPr>
        <w:t>stavby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Pr="001106F8" w:rsidRDefault="00E3231E" w:rsidP="008C2323">
      <w:pPr>
        <w:spacing w:line="300" w:lineRule="exact"/>
        <w:ind w:left="284" w:right="-568"/>
        <w:jc w:val="both"/>
        <w:rPr>
          <w:i/>
          <w:sz w:val="24"/>
        </w:rPr>
      </w:pPr>
      <w:r>
        <w:rPr>
          <w:i/>
          <w:sz w:val="24"/>
        </w:rPr>
        <w:t>Objekt: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0D7917" w:rsidRPr="000D7917">
        <w:rPr>
          <w:i/>
          <w:sz w:val="24"/>
          <w:szCs w:val="24"/>
        </w:rPr>
        <w:t xml:space="preserve">Oprava osvětlení věznice - výměnou za LED světla </w:t>
      </w:r>
    </w:p>
    <w:p w:rsidR="00E3231E" w:rsidRDefault="00E3231E" w:rsidP="008C2323">
      <w:pPr>
        <w:spacing w:line="300" w:lineRule="exact"/>
        <w:ind w:left="284" w:right="-568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E3231E" w:rsidRDefault="00F803B1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Investor</w:t>
      </w:r>
      <w:r w:rsidR="00E3231E">
        <w:rPr>
          <w:i/>
          <w:sz w:val="24"/>
        </w:rPr>
        <w:t>:</w:t>
      </w:r>
      <w:r w:rsidR="00E3231E">
        <w:rPr>
          <w:i/>
          <w:sz w:val="24"/>
        </w:rPr>
        <w:tab/>
      </w:r>
      <w:r>
        <w:rPr>
          <w:i/>
          <w:sz w:val="24"/>
        </w:rPr>
        <w:tab/>
      </w:r>
      <w:r w:rsidRPr="00F803B1">
        <w:rPr>
          <w:i/>
          <w:sz w:val="24"/>
        </w:rPr>
        <w:t xml:space="preserve">Vězeňská služba České republiky, Věznice </w:t>
      </w:r>
      <w:r w:rsidR="00D54903">
        <w:rPr>
          <w:i/>
          <w:sz w:val="24"/>
        </w:rPr>
        <w:t>Všehrdy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Datum: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FF398B">
        <w:rPr>
          <w:i/>
          <w:sz w:val="24"/>
        </w:rPr>
        <w:t>0</w:t>
      </w:r>
      <w:r w:rsidR="00D54903">
        <w:rPr>
          <w:i/>
          <w:sz w:val="24"/>
        </w:rPr>
        <w:t>4</w:t>
      </w:r>
      <w:r w:rsidR="00C45F19">
        <w:rPr>
          <w:i/>
          <w:sz w:val="24"/>
        </w:rPr>
        <w:t>. 201</w:t>
      </w:r>
      <w:r w:rsidR="00F803B1">
        <w:rPr>
          <w:i/>
          <w:sz w:val="24"/>
        </w:rPr>
        <w:t>8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Zpracovatelé:</w:t>
      </w:r>
      <w:r>
        <w:rPr>
          <w:i/>
          <w:sz w:val="24"/>
        </w:rPr>
        <w:tab/>
        <w:t>Ing. Miroslav Fiala       Podpis .....................................</w:t>
      </w:r>
      <w:r w:rsidR="00893164" w:rsidRPr="00893164"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OBSAH :</w:t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Projektové podklady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Rozsah projektu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Použité předpisy a normy</w:t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Ochrana před nebezpečným dotykem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Technický popis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FA2BA2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Základní technické údaje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FA2BA2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Bezpečnost práce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E3231E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sz w:val="22"/>
        </w:rPr>
      </w:pPr>
      <w:r w:rsidRPr="00B30A4D">
        <w:rPr>
          <w:rFonts w:ascii="Verdana" w:hAnsi="Verdana"/>
        </w:rPr>
        <w:t xml:space="preserve">  Závěr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</w:p>
    <w:p w:rsidR="00E3231E" w:rsidRDefault="00E3231E" w:rsidP="008C2323">
      <w:pPr>
        <w:spacing w:line="300" w:lineRule="exact"/>
        <w:ind w:right="567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3231E" w:rsidRDefault="001908A5" w:rsidP="008C2323">
      <w:pPr>
        <w:spacing w:line="300" w:lineRule="exact"/>
        <w:ind w:left="284" w:right="567"/>
        <w:jc w:val="both"/>
        <w:rPr>
          <w:sz w:val="22"/>
        </w:rPr>
      </w:pPr>
      <w:r>
        <w:rPr>
          <w:sz w:val="22"/>
        </w:rPr>
        <w:br w:type="page"/>
      </w:r>
    </w:p>
    <w:p w:rsidR="00E3231E" w:rsidRDefault="00E3231E" w:rsidP="008C2323">
      <w:pPr>
        <w:numPr>
          <w:ilvl w:val="0"/>
          <w:numId w:val="6"/>
        </w:numPr>
        <w:spacing w:line="300" w:lineRule="exact"/>
        <w:ind w:right="-852"/>
        <w:jc w:val="both"/>
        <w:rPr>
          <w:sz w:val="22"/>
          <w:u w:val="single"/>
        </w:rPr>
      </w:pPr>
      <w:r w:rsidRPr="00BC1F9F">
        <w:rPr>
          <w:b/>
          <w:sz w:val="22"/>
          <w:u w:val="single"/>
        </w:rPr>
        <w:lastRenderedPageBreak/>
        <w:t>Projektové podklady</w:t>
      </w:r>
      <w:r>
        <w:rPr>
          <w:sz w:val="22"/>
          <w:u w:val="single"/>
        </w:rPr>
        <w:t>: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r>
        <w:rPr>
          <w:sz w:val="22"/>
        </w:rPr>
        <w:t xml:space="preserve">-  </w:t>
      </w:r>
      <w:r w:rsidR="00D54903">
        <w:rPr>
          <w:sz w:val="22"/>
        </w:rPr>
        <w:t>situace areálu</w:t>
      </w:r>
      <w:r>
        <w:rPr>
          <w:sz w:val="22"/>
        </w:rPr>
        <w:t xml:space="preserve"> 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r>
        <w:rPr>
          <w:sz w:val="22"/>
        </w:rPr>
        <w:t xml:space="preserve">-  požadavky a údaje </w:t>
      </w:r>
      <w:r w:rsidR="00FF398B">
        <w:rPr>
          <w:sz w:val="22"/>
        </w:rPr>
        <w:t>uživatele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5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Rozsah projektovaného zařízení:</w:t>
      </w:r>
    </w:p>
    <w:p w:rsidR="00E3231E" w:rsidRDefault="00E3231E" w:rsidP="007B435A">
      <w:pPr>
        <w:pStyle w:val="Zkladntextodsazen"/>
        <w:spacing w:line="300" w:lineRule="exact"/>
        <w:ind w:left="0" w:right="-852" w:firstLine="708"/>
        <w:rPr>
          <w:sz w:val="22"/>
        </w:rPr>
      </w:pPr>
      <w:r>
        <w:rPr>
          <w:sz w:val="22"/>
        </w:rPr>
        <w:t xml:space="preserve">-  Předmětem této dokumentace je návrh </w:t>
      </w:r>
      <w:r w:rsidR="000D7917">
        <w:rPr>
          <w:sz w:val="22"/>
        </w:rPr>
        <w:t>opravy</w:t>
      </w:r>
      <w:r w:rsidR="007B435A">
        <w:rPr>
          <w:sz w:val="22"/>
        </w:rPr>
        <w:t xml:space="preserve"> stávajících svítidel </w:t>
      </w:r>
      <w:r w:rsidR="000D7917">
        <w:rPr>
          <w:sz w:val="22"/>
        </w:rPr>
        <w:t xml:space="preserve">výměnou </w:t>
      </w:r>
      <w:r w:rsidR="007B435A">
        <w:rPr>
          <w:sz w:val="22"/>
        </w:rPr>
        <w:t>za svítidla s LED techn</w:t>
      </w:r>
      <w:r w:rsidR="007B435A">
        <w:rPr>
          <w:sz w:val="22"/>
        </w:rPr>
        <w:t>o</w:t>
      </w:r>
      <w:r w:rsidR="007B435A">
        <w:rPr>
          <w:sz w:val="22"/>
        </w:rPr>
        <w:t>logií</w:t>
      </w:r>
      <w:r w:rsidR="00D54903">
        <w:rPr>
          <w:sz w:val="22"/>
        </w:rPr>
        <w:t xml:space="preserve"> v areálu a komunikace podél areálu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Použité předpisy a normy:</w:t>
      </w:r>
    </w:p>
    <w:p w:rsidR="00C03BB1" w:rsidRDefault="00E3231E" w:rsidP="00FA2BA2">
      <w:pPr>
        <w:rPr>
          <w:rFonts w:ascii="Verdana" w:hAnsi="Verdana"/>
        </w:rPr>
      </w:pPr>
      <w:r>
        <w:rPr>
          <w:sz w:val="22"/>
        </w:rPr>
        <w:tab/>
        <w:t>-  Projektová dokumentace je zpracována podle státních, oborových a podnikových norem platných v době zpracování dokumentace.</w:t>
      </w:r>
      <w:r w:rsidR="00FA2BA2" w:rsidRPr="00FA2BA2">
        <w:rPr>
          <w:rFonts w:ascii="Verdana" w:hAnsi="Verdana"/>
        </w:rPr>
        <w:t xml:space="preserve">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Stanovení základních charakteristik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</w:t>
      </w:r>
      <w:r w:rsidR="007B435A">
        <w:rPr>
          <w:sz w:val="22"/>
          <w:szCs w:val="22"/>
        </w:rPr>
        <w:t>3</w:t>
      </w:r>
      <w:r w:rsidRPr="00C03BB1">
        <w:rPr>
          <w:sz w:val="22"/>
          <w:szCs w:val="22"/>
        </w:rPr>
        <w:t xml:space="preserve"> Ochrana před elektrickým úrazem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před účinky tepla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proti nadproudům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 Výběr soustav a stavba vedení. oddíl 523: Dovolené proudy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zařízení. Všeobecná ustanovení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- ČSN 33 2000-5-53 Spínací a řídící přístroje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2000-5-54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Uzemnění a ochranné vodiče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2000-6 Revize. oddíl 61: Postupy při výchozí revizi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2000-7-701 ed.2 Prostory s vanou nebo sprchou a umývací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2180 Připojování elektrických přístrojů a spotřebičů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2130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Vnitřní elektrické rozvody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2190 Připojování elektrických strojů a pohonů s elektromotory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2312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zařízení v hořlavých látkách a na nich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3320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přípojky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62 305    Předpisy pro ochranu před bleskem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1610 Elektrotechnické předpisy ČSN. Elektrický silnoproudý rozvod v průmyslových pr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>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3100 Bezpečnostní předpisy pro obsluhu a práci na elektrických zařízeních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3103 Bezpečnostní předpisy pro obsluhu a práci na elektrických přístrojích a rozváděčích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3104 Bezpečnostní předpisy pro obsluhu a práci v elektrických provozovnách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3510 Bezpečnostní tabulky a nápisy pro elektrická zařízení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36 0020-1,  Sdružené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12464-1  Světlo a osvětlení – Osvětlení pracovních prostorů – Část 1: Vnitřní pracovní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18 38 Světlo a osvětlení – Nouzové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50 172 Systémy nouzového únikového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Vyhláška  č  23/ 2008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Vyhláška 50/78Sb.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Ochrana před nebezpečným dotykem</w:t>
      </w:r>
    </w:p>
    <w:p w:rsidR="00FA2BA2" w:rsidRPr="00C03BB1" w:rsidRDefault="00FA2BA2" w:rsidP="00FA2BA2">
      <w:pPr>
        <w:pStyle w:val="Zkladntextodsazen"/>
        <w:ind w:left="0"/>
        <w:jc w:val="both"/>
        <w:rPr>
          <w:i/>
          <w:sz w:val="22"/>
          <w:szCs w:val="22"/>
          <w:u w:val="single"/>
        </w:rPr>
      </w:pPr>
    </w:p>
    <w:p w:rsidR="00FA2BA2" w:rsidRPr="00C03BB1" w:rsidRDefault="00FA2BA2" w:rsidP="00FA2BA2">
      <w:pPr>
        <w:pStyle w:val="Zkladntextodsazen"/>
        <w:ind w:left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Základní ochrana před nebezpečným dotykem neživých částí bude provedena automatickým odpoj</w:t>
      </w:r>
      <w:r w:rsidRPr="00C03BB1">
        <w:rPr>
          <w:sz w:val="22"/>
          <w:szCs w:val="22"/>
        </w:rPr>
        <w:t>e</w:t>
      </w:r>
      <w:r w:rsidRPr="00C03BB1">
        <w:rPr>
          <w:sz w:val="22"/>
          <w:szCs w:val="22"/>
        </w:rPr>
        <w:t xml:space="preserve">ním od zdroje v síti TN-S dle 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</w:t>
      </w:r>
      <w:r w:rsidR="008A2CEC">
        <w:rPr>
          <w:sz w:val="22"/>
          <w:szCs w:val="22"/>
        </w:rPr>
        <w:t>3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 hlediska nebezpečí úrazu elektrickým proudem jsou všechny projektované prostory považovány za prost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 xml:space="preserve">ry bezpečné, tzn. prostředí </w:t>
      </w:r>
      <w:r w:rsidR="00BB187E" w:rsidRPr="00BB187E">
        <w:rPr>
          <w:sz w:val="22"/>
          <w:szCs w:val="22"/>
        </w:rPr>
        <w:t>AA7, AB8, AC1, AD4, AE3, AF2,AG1, AH1, AK2, AL2, AM1</w:t>
      </w:r>
      <w:r w:rsidR="00BB187E">
        <w:rPr>
          <w:sz w:val="22"/>
          <w:szCs w:val="22"/>
        </w:rPr>
        <w:t xml:space="preserve">, </w:t>
      </w:r>
      <w:r w:rsidR="00BB187E" w:rsidRPr="00BB187E">
        <w:rPr>
          <w:sz w:val="22"/>
          <w:szCs w:val="22"/>
        </w:rPr>
        <w:t>AN2, AP1, AQ2, AR1, AS2, BA1, BC1, BD1, BE1, CA1, CB1</w:t>
      </w:r>
      <w:r w:rsidRPr="00C03BB1">
        <w:rPr>
          <w:sz w:val="22"/>
          <w:szCs w:val="22"/>
        </w:rPr>
        <w:t xml:space="preserve"> a to v souladu s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 - Všeobecná ustanovení. 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C03BB1" w:rsidRDefault="00E3231E" w:rsidP="008C2323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004CB9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C03BB1">
        <w:rPr>
          <w:b/>
          <w:sz w:val="22"/>
          <w:szCs w:val="22"/>
          <w:u w:val="single"/>
        </w:rPr>
        <w:br w:type="page"/>
      </w:r>
      <w:r w:rsidR="00E3231E" w:rsidRPr="00004CB9">
        <w:rPr>
          <w:b/>
          <w:sz w:val="22"/>
          <w:u w:val="single"/>
        </w:rPr>
        <w:lastRenderedPageBreak/>
        <w:t>Technický popis:</w:t>
      </w:r>
    </w:p>
    <w:p w:rsidR="00E3231E" w:rsidRDefault="00E3231E" w:rsidP="008C232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  <w:t xml:space="preserve">-  Technický popis se vztahuje na rozsah uvedený v bodě číslo 2 této technické zprávy. Projekt je vypracován dle dostupných platných podkladů, </w:t>
      </w:r>
      <w:r w:rsidR="00045010">
        <w:rPr>
          <w:sz w:val="22"/>
        </w:rPr>
        <w:t>ke dni vydání této dokumentace a je zpracován v souladu s platnými normami v době zpracovávání dokumentace.</w:t>
      </w:r>
      <w:r w:rsidR="00C24563">
        <w:rPr>
          <w:sz w:val="22"/>
        </w:rPr>
        <w:t xml:space="preserve"> </w:t>
      </w:r>
    </w:p>
    <w:p w:rsidR="00C24563" w:rsidRDefault="00C24563" w:rsidP="008C2323">
      <w:pPr>
        <w:spacing w:line="300" w:lineRule="exact"/>
        <w:ind w:left="-142" w:right="-568" w:firstLine="143"/>
        <w:jc w:val="both"/>
        <w:rPr>
          <w:sz w:val="22"/>
        </w:rPr>
      </w:pPr>
    </w:p>
    <w:p w:rsidR="00C24563" w:rsidRDefault="00C24563" w:rsidP="00C24563">
      <w:pPr>
        <w:spacing w:line="300" w:lineRule="exact"/>
        <w:ind w:left="284" w:right="-852"/>
        <w:jc w:val="both"/>
        <w:rPr>
          <w:sz w:val="22"/>
          <w:u w:val="single"/>
        </w:rPr>
      </w:pPr>
      <w:r>
        <w:rPr>
          <w:sz w:val="22"/>
          <w:u w:val="single"/>
        </w:rPr>
        <w:t>5.1 Napájecí rozvody:</w:t>
      </w:r>
    </w:p>
    <w:p w:rsidR="00C24563" w:rsidRDefault="00C24563" w:rsidP="00C24563">
      <w:pPr>
        <w:spacing w:line="300" w:lineRule="exact"/>
        <w:jc w:val="both"/>
        <w:rPr>
          <w:sz w:val="22"/>
        </w:rPr>
      </w:pPr>
      <w:r>
        <w:rPr>
          <w:sz w:val="22"/>
        </w:rPr>
        <w:t xml:space="preserve">           Napájecí rozvody zůstanou beze změny, dojde pouze k výměně stávajících svítidel za svítidla LED.</w:t>
      </w:r>
    </w:p>
    <w:p w:rsidR="00E3231E" w:rsidRDefault="00E3231E" w:rsidP="008C2323">
      <w:pPr>
        <w:spacing w:line="300" w:lineRule="exact"/>
        <w:ind w:right="-851"/>
      </w:pPr>
    </w:p>
    <w:p w:rsidR="00E3231E" w:rsidRPr="001E3609" w:rsidRDefault="00FA2BA2" w:rsidP="008C2323">
      <w:pPr>
        <w:spacing w:line="300" w:lineRule="exact"/>
        <w:ind w:left="284" w:right="-852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 w:rsidR="00E3231E" w:rsidRPr="001E3609">
        <w:rPr>
          <w:sz w:val="22"/>
          <w:szCs w:val="22"/>
          <w:u w:val="single"/>
        </w:rPr>
        <w:t>.</w:t>
      </w:r>
      <w:r w:rsidR="00C24563">
        <w:rPr>
          <w:sz w:val="22"/>
          <w:szCs w:val="22"/>
          <w:u w:val="single"/>
        </w:rPr>
        <w:t>2</w:t>
      </w:r>
      <w:r w:rsidR="00E3231E" w:rsidRPr="001E3609">
        <w:rPr>
          <w:sz w:val="22"/>
          <w:szCs w:val="22"/>
          <w:u w:val="single"/>
        </w:rPr>
        <w:t xml:space="preserve"> </w:t>
      </w:r>
      <w:r w:rsidR="001E3609" w:rsidRPr="001E3609">
        <w:rPr>
          <w:sz w:val="22"/>
          <w:szCs w:val="22"/>
          <w:u w:val="single"/>
        </w:rPr>
        <w:t>Osvětlení</w:t>
      </w:r>
      <w:r w:rsidR="00E3231E" w:rsidRPr="001E3609">
        <w:rPr>
          <w:sz w:val="22"/>
          <w:szCs w:val="22"/>
          <w:u w:val="single"/>
        </w:rPr>
        <w:t>:</w:t>
      </w:r>
    </w:p>
    <w:p w:rsidR="00D54903" w:rsidRDefault="001E3609" w:rsidP="008C2323">
      <w:pPr>
        <w:spacing w:line="300" w:lineRule="exact"/>
        <w:jc w:val="both"/>
        <w:rPr>
          <w:sz w:val="22"/>
          <w:szCs w:val="22"/>
        </w:rPr>
      </w:pPr>
      <w:r w:rsidRPr="001E3609">
        <w:rPr>
          <w:sz w:val="22"/>
          <w:szCs w:val="22"/>
        </w:rPr>
        <w:t>Osvětlení v</w:t>
      </w:r>
      <w:r w:rsidR="007B435A">
        <w:rPr>
          <w:sz w:val="22"/>
          <w:szCs w:val="22"/>
        </w:rPr>
        <w:t xml:space="preserve"> prostoru </w:t>
      </w:r>
      <w:r w:rsidR="00BB187E">
        <w:rPr>
          <w:sz w:val="22"/>
          <w:szCs w:val="22"/>
        </w:rPr>
        <w:t>věznice</w:t>
      </w:r>
      <w:r w:rsidR="007B435A">
        <w:rPr>
          <w:sz w:val="22"/>
          <w:szCs w:val="22"/>
        </w:rPr>
        <w:t xml:space="preserve"> je v současné době provedeno </w:t>
      </w:r>
      <w:r w:rsidR="00BB187E">
        <w:rPr>
          <w:sz w:val="22"/>
          <w:szCs w:val="22"/>
        </w:rPr>
        <w:t>výbojkovými svítidly</w:t>
      </w:r>
      <w:r w:rsidR="00D54903">
        <w:rPr>
          <w:sz w:val="22"/>
          <w:szCs w:val="22"/>
        </w:rPr>
        <w:t>,</w:t>
      </w:r>
      <w:r w:rsidR="00BB187E">
        <w:rPr>
          <w:sz w:val="22"/>
          <w:szCs w:val="22"/>
        </w:rPr>
        <w:t xml:space="preserve"> jež jsou osazena vysokotlakými sodíkovými výbojkami převážně o příkonu </w:t>
      </w:r>
      <w:r w:rsidR="00D54903">
        <w:rPr>
          <w:sz w:val="22"/>
          <w:szCs w:val="22"/>
        </w:rPr>
        <w:t>70</w:t>
      </w:r>
      <w:r w:rsidR="00BB187E">
        <w:rPr>
          <w:sz w:val="22"/>
          <w:szCs w:val="22"/>
        </w:rPr>
        <w:t xml:space="preserve">W. </w:t>
      </w:r>
      <w:r w:rsidR="00BF62F0">
        <w:rPr>
          <w:sz w:val="22"/>
          <w:szCs w:val="22"/>
        </w:rPr>
        <w:t xml:space="preserve">zde se patří připomenout, že tyto zdroje kromě energetické náročnosti mají i velmi špatný index podání barev </w:t>
      </w:r>
      <w:proofErr w:type="spellStart"/>
      <w:r w:rsidR="00BF62F0">
        <w:rPr>
          <w:sz w:val="22"/>
          <w:szCs w:val="22"/>
        </w:rPr>
        <w:t>Ra</w:t>
      </w:r>
      <w:proofErr w:type="spellEnd"/>
      <w:r w:rsidR="00BF62F0">
        <w:rPr>
          <w:sz w:val="22"/>
          <w:szCs w:val="22"/>
        </w:rPr>
        <w:t xml:space="preserve"> okolo 2</w:t>
      </w:r>
      <w:r w:rsidR="00D54903">
        <w:rPr>
          <w:sz w:val="22"/>
          <w:szCs w:val="22"/>
        </w:rPr>
        <w:t>0</w:t>
      </w:r>
      <w:r w:rsidR="00BF62F0">
        <w:rPr>
          <w:sz w:val="22"/>
          <w:szCs w:val="22"/>
        </w:rPr>
        <w:t xml:space="preserve"> a dlouhou dobu náběhu (okolo 7-mi minut). </w:t>
      </w:r>
    </w:p>
    <w:p w:rsidR="00D54903" w:rsidRDefault="007B435A" w:rsidP="008C232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výměně stávajících svítidel za LED svítidla bud</w:t>
      </w:r>
      <w:r w:rsidR="00BF62F0">
        <w:rPr>
          <w:sz w:val="22"/>
          <w:szCs w:val="22"/>
        </w:rPr>
        <w:t xml:space="preserve">ou odstraněny všechny zmíněné nedostatky, tedy spínání bude ihned, energetická náročnost je </w:t>
      </w:r>
      <w:r w:rsidR="002140F6">
        <w:rPr>
          <w:sz w:val="22"/>
          <w:szCs w:val="22"/>
        </w:rPr>
        <w:t>značně</w:t>
      </w:r>
      <w:r w:rsidR="00BF62F0">
        <w:rPr>
          <w:sz w:val="22"/>
          <w:szCs w:val="22"/>
        </w:rPr>
        <w:t xml:space="preserve"> nižší a index podání barev </w:t>
      </w:r>
      <w:proofErr w:type="spellStart"/>
      <w:r w:rsidR="00BF62F0">
        <w:rPr>
          <w:sz w:val="22"/>
          <w:szCs w:val="22"/>
        </w:rPr>
        <w:t>Ra</w:t>
      </w:r>
      <w:proofErr w:type="spellEnd"/>
      <w:r w:rsidR="00BF62F0">
        <w:rPr>
          <w:sz w:val="22"/>
          <w:szCs w:val="22"/>
        </w:rPr>
        <w:t xml:space="preserve"> je min.80. Rozvody </w:t>
      </w:r>
      <w:r w:rsidR="002C648E">
        <w:rPr>
          <w:sz w:val="22"/>
          <w:szCs w:val="22"/>
        </w:rPr>
        <w:t>zůstanou</w:t>
      </w:r>
      <w:r w:rsidR="00BF62F0">
        <w:rPr>
          <w:sz w:val="22"/>
          <w:szCs w:val="22"/>
        </w:rPr>
        <w:t xml:space="preserve"> zachovány, pouze bude vyměněna stožárová výzbroj stožárů a jejich vnitřní propojení</w:t>
      </w:r>
      <w:r w:rsidR="00095C79">
        <w:rPr>
          <w:sz w:val="22"/>
          <w:szCs w:val="22"/>
        </w:rPr>
        <w:t>,</w:t>
      </w:r>
      <w:r w:rsidR="00095C79" w:rsidRPr="00095C79">
        <w:rPr>
          <w:sz w:val="22"/>
          <w:szCs w:val="22"/>
        </w:rPr>
        <w:t xml:space="preserve"> </w:t>
      </w:r>
      <w:r w:rsidR="00095C79">
        <w:rPr>
          <w:sz w:val="22"/>
          <w:szCs w:val="22"/>
        </w:rPr>
        <w:t>bude vyčištěna stávající svorkovnice, bude vyměněna pojistka jištění, dojde k obnovení nátěru stožáru</w:t>
      </w:r>
      <w:r w:rsidR="00BF62F0">
        <w:rPr>
          <w:sz w:val="22"/>
          <w:szCs w:val="22"/>
        </w:rPr>
        <w:t xml:space="preserve"> a budou nahrazena stávající svítidla svítidly</w:t>
      </w:r>
      <w:r>
        <w:rPr>
          <w:sz w:val="22"/>
          <w:szCs w:val="22"/>
        </w:rPr>
        <w:t xml:space="preserve"> LED. </w:t>
      </w:r>
    </w:p>
    <w:p w:rsidR="001E3609" w:rsidRDefault="007B435A" w:rsidP="008C232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Osvětlení je ve </w:t>
      </w:r>
      <w:r w:rsidR="001E3609" w:rsidRPr="001E3609">
        <w:rPr>
          <w:sz w:val="22"/>
          <w:szCs w:val="22"/>
        </w:rPr>
        <w:t>všech projektovaných prostorech je navrženo v souladu s ČSN EN 12 464-</w:t>
      </w:r>
      <w:r w:rsidR="00BF62F0">
        <w:rPr>
          <w:sz w:val="22"/>
          <w:szCs w:val="22"/>
        </w:rPr>
        <w:t xml:space="preserve">2 </w:t>
      </w:r>
      <w:proofErr w:type="spellStart"/>
      <w:r w:rsidR="00BF62F0">
        <w:rPr>
          <w:sz w:val="22"/>
          <w:szCs w:val="22"/>
        </w:rPr>
        <w:t>ed</w:t>
      </w:r>
      <w:proofErr w:type="spellEnd"/>
      <w:r w:rsidR="00BF62F0">
        <w:rPr>
          <w:sz w:val="22"/>
          <w:szCs w:val="22"/>
        </w:rPr>
        <w:t>. 2014</w:t>
      </w:r>
      <w:r w:rsidR="001E3609" w:rsidRPr="001E3609">
        <w:rPr>
          <w:sz w:val="22"/>
          <w:szCs w:val="22"/>
        </w:rPr>
        <w:t>. V příloze jsou uvedeny jen výpočty typických prostor</w:t>
      </w:r>
      <w:r w:rsidR="00303CEE">
        <w:rPr>
          <w:sz w:val="22"/>
          <w:szCs w:val="22"/>
        </w:rPr>
        <w:t xml:space="preserve"> objektů.</w:t>
      </w:r>
      <w:r w:rsidR="00303CEE" w:rsidRPr="001E3609">
        <w:rPr>
          <w:sz w:val="22"/>
          <w:szCs w:val="22"/>
        </w:rPr>
        <w:t xml:space="preserve"> </w:t>
      </w:r>
      <w:r w:rsidR="001E3609" w:rsidRPr="001E3609">
        <w:rPr>
          <w:sz w:val="22"/>
          <w:szCs w:val="22"/>
        </w:rPr>
        <w:t xml:space="preserve">Výpočty byly zpracovány výpočetním programem RELUX </w:t>
      </w:r>
      <w:proofErr w:type="spellStart"/>
      <w:r w:rsidR="001E3609" w:rsidRPr="001E3609">
        <w:rPr>
          <w:sz w:val="22"/>
          <w:szCs w:val="22"/>
        </w:rPr>
        <w:t>ed</w:t>
      </w:r>
      <w:proofErr w:type="spellEnd"/>
      <w:r w:rsidR="001E3609" w:rsidRPr="001E3609">
        <w:rPr>
          <w:sz w:val="22"/>
          <w:szCs w:val="22"/>
        </w:rPr>
        <w:t>. 201</w:t>
      </w:r>
      <w:r w:rsidR="00C24563">
        <w:rPr>
          <w:sz w:val="22"/>
          <w:szCs w:val="22"/>
        </w:rPr>
        <w:t>8</w:t>
      </w:r>
      <w:r w:rsidR="001E3609" w:rsidRPr="001E3609">
        <w:rPr>
          <w:sz w:val="22"/>
          <w:szCs w:val="22"/>
        </w:rPr>
        <w:t xml:space="preserve">. Jako standard byla použita svítidla </w:t>
      </w:r>
      <w:r w:rsidR="002C648E">
        <w:rPr>
          <w:sz w:val="22"/>
          <w:szCs w:val="22"/>
        </w:rPr>
        <w:t>SOLO</w:t>
      </w:r>
      <w:r w:rsidR="009A387A">
        <w:rPr>
          <w:sz w:val="22"/>
          <w:szCs w:val="22"/>
        </w:rPr>
        <w:t xml:space="preserve">, doplněná svítidla fy </w:t>
      </w:r>
      <w:r w:rsidR="003B3BDC">
        <w:rPr>
          <w:sz w:val="22"/>
          <w:szCs w:val="22"/>
        </w:rPr>
        <w:t>SIT</w:t>
      </w:r>
      <w:r w:rsidR="003B3BDC">
        <w:rPr>
          <w:sz w:val="22"/>
          <w:szCs w:val="22"/>
        </w:rPr>
        <w:t>E</w:t>
      </w:r>
      <w:r w:rsidR="003B3BDC">
        <w:rPr>
          <w:sz w:val="22"/>
          <w:szCs w:val="22"/>
        </w:rPr>
        <w:t>CO pro související komunikaci</w:t>
      </w:r>
      <w:r w:rsidR="002C648E">
        <w:rPr>
          <w:sz w:val="22"/>
          <w:szCs w:val="22"/>
        </w:rPr>
        <w:t>.</w:t>
      </w:r>
      <w:r w:rsidR="001E3609" w:rsidRPr="001E3609">
        <w:rPr>
          <w:sz w:val="22"/>
          <w:szCs w:val="22"/>
        </w:rPr>
        <w:t xml:space="preserve"> </w:t>
      </w:r>
      <w:r w:rsidR="001A5900">
        <w:rPr>
          <w:sz w:val="22"/>
          <w:szCs w:val="22"/>
        </w:rPr>
        <w:t xml:space="preserve">Ta byla navržena v souladu s CEN/TR 13 201-1 a ČSN EN 13 201 2 až 5. </w:t>
      </w:r>
      <w:r w:rsidR="00C24563" w:rsidRPr="00C24563">
        <w:rPr>
          <w:sz w:val="22"/>
          <w:szCs w:val="22"/>
        </w:rPr>
        <w:t>Výrobky zde uvedené jsou referenčními standardy, mohou být nahrazeny pouze výrobky s vlas</w:t>
      </w:r>
      <w:r w:rsidR="00C24563" w:rsidRPr="00C24563">
        <w:rPr>
          <w:sz w:val="22"/>
          <w:szCs w:val="22"/>
        </w:rPr>
        <w:t>t</w:t>
      </w:r>
      <w:r w:rsidR="00C24563" w:rsidRPr="00C24563">
        <w:rPr>
          <w:sz w:val="22"/>
          <w:szCs w:val="22"/>
        </w:rPr>
        <w:t>nostmi stejnými nebo lepšími</w:t>
      </w:r>
      <w:r w:rsidR="003A149A">
        <w:rPr>
          <w:sz w:val="22"/>
          <w:szCs w:val="22"/>
        </w:rPr>
        <w:t>.</w:t>
      </w:r>
      <w:bookmarkStart w:id="0" w:name="_GoBack"/>
      <w:bookmarkEnd w:id="0"/>
    </w:p>
    <w:p w:rsidR="00D54903" w:rsidRDefault="00D54903" w:rsidP="008C232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Na komunikaci u areálu budou vyměněny i stožáry.</w:t>
      </w:r>
    </w:p>
    <w:p w:rsidR="001E3609" w:rsidRPr="001E3609" w:rsidRDefault="001E3609" w:rsidP="00C2456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03CEE" w:rsidRPr="001E3609">
        <w:rPr>
          <w:sz w:val="22"/>
          <w:szCs w:val="22"/>
          <w:u w:val="single"/>
        </w:rPr>
        <w:t xml:space="preserve"> </w:t>
      </w:r>
    </w:p>
    <w:p w:rsidR="00E3231E" w:rsidRPr="00004CB9" w:rsidRDefault="00FA2BA2" w:rsidP="008C2323">
      <w:pPr>
        <w:spacing w:line="300" w:lineRule="exact"/>
        <w:ind w:left="284" w:right="-852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6</w:t>
      </w:r>
      <w:r w:rsidR="00E3231E" w:rsidRPr="00004CB9">
        <w:rPr>
          <w:b/>
          <w:sz w:val="22"/>
          <w:u w:val="single"/>
        </w:rPr>
        <w:t xml:space="preserve">. Bilance spotřeby </w:t>
      </w:r>
      <w:proofErr w:type="spellStart"/>
      <w:r w:rsidR="00E3231E" w:rsidRPr="00004CB9">
        <w:rPr>
          <w:b/>
          <w:sz w:val="22"/>
          <w:u w:val="single"/>
        </w:rPr>
        <w:t>el.energie</w:t>
      </w:r>
      <w:proofErr w:type="spellEnd"/>
      <w:r w:rsidR="00E3231E" w:rsidRPr="00004CB9">
        <w:rPr>
          <w:b/>
          <w:sz w:val="22"/>
          <w:u w:val="single"/>
        </w:rPr>
        <w:t>:</w:t>
      </w:r>
    </w:p>
    <w:p w:rsidR="00E3231E" w:rsidRDefault="00E3231E" w:rsidP="008C2323">
      <w:pPr>
        <w:spacing w:line="300" w:lineRule="exact"/>
        <w:rPr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sz w:val="24"/>
        </w:rPr>
        <w:tab/>
        <w:t xml:space="preserve">             </w:t>
      </w:r>
      <w:proofErr w:type="spellStart"/>
      <w:r>
        <w:rPr>
          <w:sz w:val="24"/>
        </w:rPr>
        <w:t>Pi</w:t>
      </w:r>
      <w:proofErr w:type="spellEnd"/>
      <w:r>
        <w:rPr>
          <w:sz w:val="24"/>
        </w:rPr>
        <w:t xml:space="preserve"> ( kW )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Ps</w:t>
      </w:r>
      <w:proofErr w:type="spellEnd"/>
      <w:r>
        <w:rPr>
          <w:sz w:val="24"/>
        </w:rPr>
        <w:t xml:space="preserve"> ( kW )</w:t>
      </w:r>
    </w:p>
    <w:p w:rsidR="00E3231E" w:rsidRDefault="00801096" w:rsidP="008C2323">
      <w:pPr>
        <w:spacing w:line="300" w:lineRule="exact"/>
        <w:rPr>
          <w:sz w:val="24"/>
        </w:rPr>
      </w:pPr>
      <w:r>
        <w:rPr>
          <w:sz w:val="24"/>
        </w:rPr>
        <w:t>osvětlení</w:t>
      </w:r>
      <w:r w:rsidR="00C24563">
        <w:rPr>
          <w:sz w:val="24"/>
        </w:rPr>
        <w:t xml:space="preserve"> nové</w:t>
      </w:r>
      <w:r>
        <w:rPr>
          <w:sz w:val="24"/>
        </w:rPr>
        <w:tab/>
      </w:r>
      <w:r>
        <w:rPr>
          <w:sz w:val="24"/>
        </w:rPr>
        <w:tab/>
      </w:r>
      <w:r w:rsidR="00E3231E">
        <w:rPr>
          <w:sz w:val="24"/>
        </w:rPr>
        <w:t xml:space="preserve">                   </w:t>
      </w:r>
      <w:r w:rsidR="00E3231E">
        <w:rPr>
          <w:sz w:val="24"/>
        </w:rPr>
        <w:tab/>
      </w:r>
      <w:r w:rsidR="00E3231E">
        <w:rPr>
          <w:sz w:val="24"/>
        </w:rPr>
        <w:tab/>
      </w:r>
      <w:r w:rsidR="003A5789">
        <w:rPr>
          <w:sz w:val="24"/>
        </w:rPr>
        <w:t xml:space="preserve">  </w:t>
      </w:r>
      <w:r w:rsidR="00505BAC">
        <w:rPr>
          <w:sz w:val="24"/>
        </w:rPr>
        <w:t>5,44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6D21A9">
        <w:rPr>
          <w:sz w:val="24"/>
        </w:rPr>
        <w:t xml:space="preserve">   </w:t>
      </w:r>
      <w:r>
        <w:rPr>
          <w:sz w:val="24"/>
        </w:rPr>
        <w:t xml:space="preserve">           </w:t>
      </w:r>
      <w:r w:rsidR="003A5789">
        <w:rPr>
          <w:sz w:val="24"/>
        </w:rPr>
        <w:t xml:space="preserve">  </w:t>
      </w:r>
      <w:r w:rsidR="00505BAC">
        <w:rPr>
          <w:sz w:val="24"/>
        </w:rPr>
        <w:t>3</w:t>
      </w:r>
      <w:r w:rsidR="002140F6">
        <w:rPr>
          <w:sz w:val="24"/>
        </w:rPr>
        <w:t>,</w:t>
      </w:r>
      <w:r w:rsidR="00505BAC">
        <w:rPr>
          <w:sz w:val="24"/>
        </w:rPr>
        <w:t>7</w:t>
      </w:r>
      <w:r w:rsidR="002140F6">
        <w:rPr>
          <w:sz w:val="24"/>
        </w:rPr>
        <w:t>7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Default="00FA2BA2" w:rsidP="008C2323">
      <w:pPr>
        <w:spacing w:line="300" w:lineRule="exact"/>
        <w:ind w:left="1" w:right="-568"/>
        <w:jc w:val="both"/>
        <w:rPr>
          <w:sz w:val="22"/>
          <w:u w:val="single"/>
        </w:rPr>
      </w:pPr>
      <w:r>
        <w:rPr>
          <w:b/>
          <w:sz w:val="22"/>
        </w:rPr>
        <w:t>7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Bezpečnost a ochrana zdraví při práci:</w:t>
      </w:r>
    </w:p>
    <w:p w:rsidR="00E3231E" w:rsidRDefault="00E3231E" w:rsidP="008C232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  <w:t>- Při provádění montážních prací musí být dbáno všech bezpečnostních předpisů a norem pro práce na elektrickém zařízení, zejména provádět práce na vypnutém, zajištěném a řádně označeném pracovišti. Při práci ve výškách dbát bezpečnosti i ostatních pracovníků jiných firem ,ohrazení prostoru pod pracovištěm. Při práci používat osobní ochranné pomůcky, zejména helmy.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Před uvedením do provozu musí být provedena výchozí revize elektroinstalace a vydána výchozí revizní zpráva  s vyhovujícím hodnocením, bez závad.</w:t>
      </w:r>
    </w:p>
    <w:p w:rsidR="00E3231E" w:rsidRDefault="00E3231E" w:rsidP="008C2323">
      <w:pPr>
        <w:spacing w:line="300" w:lineRule="exact"/>
        <w:ind w:right="-568"/>
        <w:jc w:val="both"/>
        <w:rPr>
          <w:sz w:val="22"/>
        </w:rPr>
      </w:pPr>
    </w:p>
    <w:p w:rsidR="00E3231E" w:rsidRPr="00045010" w:rsidRDefault="00FA2BA2" w:rsidP="008C2323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>
        <w:rPr>
          <w:b/>
          <w:sz w:val="22"/>
        </w:rPr>
        <w:t>8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Závěr: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Dodavatelem bude firma s potřebnými oprávněními pro práci na vyhrazených elektrických zaříz</w:t>
      </w:r>
      <w:r>
        <w:rPr>
          <w:sz w:val="22"/>
        </w:rPr>
        <w:t>e</w:t>
      </w:r>
      <w:r>
        <w:rPr>
          <w:sz w:val="22"/>
        </w:rPr>
        <w:t>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mech.zatěžování atd..</w:t>
      </w:r>
    </w:p>
    <w:p w:rsidR="00E3231E" w:rsidRDefault="00E3231E" w:rsidP="00DD1DD6">
      <w:pPr>
        <w:spacing w:line="300" w:lineRule="exact"/>
        <w:ind w:left="-142" w:right="-568" w:firstLine="143"/>
        <w:jc w:val="both"/>
      </w:pPr>
      <w:r>
        <w:rPr>
          <w:sz w:val="22"/>
        </w:rPr>
        <w:t xml:space="preserve">           </w:t>
      </w:r>
      <w:r>
        <w:rPr>
          <w:sz w:val="22"/>
        </w:rPr>
        <w:tab/>
        <w:t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</w:t>
      </w:r>
      <w:r>
        <w:rPr>
          <w:sz w:val="22"/>
        </w:rPr>
        <w:t>u</w:t>
      </w:r>
      <w:r>
        <w:rPr>
          <w:sz w:val="22"/>
        </w:rPr>
        <w:t>mentace, použité značky jsou běžné. Legenda je na výkresech. Projekt předpokládá prostředí bez výrazných vlivů a nebezpečí výbuchu. Pokud by komise stanovila výrazné vlivy musí být provedena revize tohoto pr</w:t>
      </w:r>
      <w:r>
        <w:rPr>
          <w:sz w:val="22"/>
        </w:rPr>
        <w:t>o</w:t>
      </w:r>
      <w:r>
        <w:rPr>
          <w:sz w:val="22"/>
        </w:rPr>
        <w:t xml:space="preserve">jektu z hlediska prostředí. Všechny použité materiály musí vyhovovat platným normám a musí být schváleny </w:t>
      </w:r>
      <w:r>
        <w:rPr>
          <w:sz w:val="22"/>
        </w:rPr>
        <w:lastRenderedPageBreak/>
        <w:t>elektrotechnickým zkušebním ústavem pro použití v ČR. Veškeré elektroinstalační rozvody musí být proved</w:t>
      </w:r>
      <w:r>
        <w:rPr>
          <w:sz w:val="22"/>
        </w:rPr>
        <w:t>e</w:t>
      </w:r>
      <w:r>
        <w:rPr>
          <w:sz w:val="22"/>
        </w:rPr>
        <w:t>ny v souladu s příslušnými ČSN a souvisejícími předpisy.</w:t>
      </w:r>
    </w:p>
    <w:p w:rsidR="00E3231E" w:rsidRDefault="00E3231E" w:rsidP="008C2323">
      <w:pPr>
        <w:pStyle w:val="Zhlav"/>
        <w:tabs>
          <w:tab w:val="clear" w:pos="4536"/>
          <w:tab w:val="clear" w:pos="9072"/>
        </w:tabs>
        <w:spacing w:line="3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3231E" w:rsidSect="00891C5C">
      <w:headerReference w:type="default" r:id="rId7"/>
      <w:footnotePr>
        <w:pos w:val="beneathText"/>
      </w:footnotePr>
      <w:pgSz w:w="11905" w:h="16837"/>
      <w:pgMar w:top="851" w:right="1418" w:bottom="567" w:left="1418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9AE" w:rsidRDefault="00AD29AE">
      <w:r>
        <w:separator/>
      </w:r>
    </w:p>
  </w:endnote>
  <w:endnote w:type="continuationSeparator" w:id="0">
    <w:p w:rsidR="00AD29AE" w:rsidRDefault="00AD2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9AE" w:rsidRDefault="00AD29AE">
      <w:r>
        <w:separator/>
      </w:r>
    </w:p>
  </w:footnote>
  <w:footnote w:type="continuationSeparator" w:id="0">
    <w:p w:rsidR="00AD29AE" w:rsidRDefault="00AD2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1E" w:rsidRDefault="00E3231E">
    <w:pPr>
      <w:pStyle w:val="Zhlav"/>
      <w:rPr>
        <w:sz w:val="16"/>
      </w:rPr>
    </w:pPr>
  </w:p>
  <w:p w:rsidR="00E3231E" w:rsidRDefault="00E3231E">
    <w:pPr>
      <w:pStyle w:val="Zhlav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upperLetter"/>
      <w:pStyle w:val="Nadpis3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8"/>
        <w:u w:val="single"/>
      </w:rPr>
    </w:lvl>
  </w:abstractNum>
  <w:abstractNum w:abstractNumId="1">
    <w:nsid w:val="00000002"/>
    <w:multiLevelType w:val="singleLevel"/>
    <w:tmpl w:val="00000002"/>
    <w:name w:val="WW8Num7"/>
    <w:lvl w:ilvl="0">
      <w:start w:val="5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">
    <w:nsid w:val="00000003"/>
    <w:multiLevelType w:val="singleLevel"/>
    <w:tmpl w:val="00000003"/>
    <w:name w:val="WW8Num9"/>
    <w:lvl w:ilvl="0">
      <w:start w:val="4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>
    <w:nsid w:val="00000004"/>
    <w:multiLevelType w:val="singleLevel"/>
    <w:tmpl w:val="923477DE"/>
    <w:name w:val="WW8Num15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>
    <w:nsid w:val="00000005"/>
    <w:multiLevelType w:val="singleLevel"/>
    <w:tmpl w:val="00000005"/>
    <w:name w:val="WW8Num20"/>
    <w:lvl w:ilvl="0">
      <w:start w:val="2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6">
    <w:nsid w:val="00000007"/>
    <w:multiLevelType w:val="singleLevel"/>
    <w:tmpl w:val="00000007"/>
    <w:name w:val="WW8Num26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71820"/>
    <w:rsid w:val="00004CB9"/>
    <w:rsid w:val="00005E06"/>
    <w:rsid w:val="00045010"/>
    <w:rsid w:val="00047CC9"/>
    <w:rsid w:val="00071820"/>
    <w:rsid w:val="00080F9E"/>
    <w:rsid w:val="00091D3F"/>
    <w:rsid w:val="00095C79"/>
    <w:rsid w:val="000D7917"/>
    <w:rsid w:val="000E599C"/>
    <w:rsid w:val="000E5E69"/>
    <w:rsid w:val="00101A18"/>
    <w:rsid w:val="00101A44"/>
    <w:rsid w:val="001106F8"/>
    <w:rsid w:val="00173B5F"/>
    <w:rsid w:val="001908A5"/>
    <w:rsid w:val="001A5900"/>
    <w:rsid w:val="001B7ED3"/>
    <w:rsid w:val="001D23C4"/>
    <w:rsid w:val="001E3609"/>
    <w:rsid w:val="001F44B3"/>
    <w:rsid w:val="002140F6"/>
    <w:rsid w:val="00232A46"/>
    <w:rsid w:val="00256623"/>
    <w:rsid w:val="00265FC4"/>
    <w:rsid w:val="002902F3"/>
    <w:rsid w:val="002B0574"/>
    <w:rsid w:val="002C648E"/>
    <w:rsid w:val="00303CEE"/>
    <w:rsid w:val="00322CF3"/>
    <w:rsid w:val="003A149A"/>
    <w:rsid w:val="003A5789"/>
    <w:rsid w:val="003B3BDC"/>
    <w:rsid w:val="003F02E9"/>
    <w:rsid w:val="00404492"/>
    <w:rsid w:val="00415615"/>
    <w:rsid w:val="00505BAC"/>
    <w:rsid w:val="005436D9"/>
    <w:rsid w:val="0058601D"/>
    <w:rsid w:val="005934CC"/>
    <w:rsid w:val="005C0967"/>
    <w:rsid w:val="005F4EF4"/>
    <w:rsid w:val="00602836"/>
    <w:rsid w:val="006373DF"/>
    <w:rsid w:val="00646A86"/>
    <w:rsid w:val="00670D21"/>
    <w:rsid w:val="006D21A9"/>
    <w:rsid w:val="00704C92"/>
    <w:rsid w:val="00736B2E"/>
    <w:rsid w:val="007B435A"/>
    <w:rsid w:val="007C08CE"/>
    <w:rsid w:val="007C4C6A"/>
    <w:rsid w:val="00801096"/>
    <w:rsid w:val="00854D16"/>
    <w:rsid w:val="00854F1D"/>
    <w:rsid w:val="00863E04"/>
    <w:rsid w:val="00890A67"/>
    <w:rsid w:val="00891C5C"/>
    <w:rsid w:val="00893164"/>
    <w:rsid w:val="008A2CEC"/>
    <w:rsid w:val="008B1844"/>
    <w:rsid w:val="008C2323"/>
    <w:rsid w:val="008F0B4F"/>
    <w:rsid w:val="00965747"/>
    <w:rsid w:val="009A387A"/>
    <w:rsid w:val="00A07C06"/>
    <w:rsid w:val="00A17497"/>
    <w:rsid w:val="00AB7BBF"/>
    <w:rsid w:val="00AD29AE"/>
    <w:rsid w:val="00AF164E"/>
    <w:rsid w:val="00B353E7"/>
    <w:rsid w:val="00B821D5"/>
    <w:rsid w:val="00BB187E"/>
    <w:rsid w:val="00BB44DF"/>
    <w:rsid w:val="00BC1F9F"/>
    <w:rsid w:val="00BF62F0"/>
    <w:rsid w:val="00C0283A"/>
    <w:rsid w:val="00C0357C"/>
    <w:rsid w:val="00C03BB1"/>
    <w:rsid w:val="00C24563"/>
    <w:rsid w:val="00C27637"/>
    <w:rsid w:val="00C40CE2"/>
    <w:rsid w:val="00C45F19"/>
    <w:rsid w:val="00C906DD"/>
    <w:rsid w:val="00CB6573"/>
    <w:rsid w:val="00CD3DD0"/>
    <w:rsid w:val="00D147AD"/>
    <w:rsid w:val="00D45E39"/>
    <w:rsid w:val="00D54903"/>
    <w:rsid w:val="00D84DA2"/>
    <w:rsid w:val="00DB2E81"/>
    <w:rsid w:val="00DB594F"/>
    <w:rsid w:val="00DD1DD6"/>
    <w:rsid w:val="00DD4F04"/>
    <w:rsid w:val="00DE4355"/>
    <w:rsid w:val="00E3231E"/>
    <w:rsid w:val="00E80602"/>
    <w:rsid w:val="00EA6167"/>
    <w:rsid w:val="00EC2ABE"/>
    <w:rsid w:val="00EE417D"/>
    <w:rsid w:val="00F722F5"/>
    <w:rsid w:val="00F76873"/>
    <w:rsid w:val="00F803B1"/>
    <w:rsid w:val="00F838AD"/>
    <w:rsid w:val="00F94D55"/>
    <w:rsid w:val="00FA2BA2"/>
    <w:rsid w:val="00FF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C5C"/>
    <w:rPr>
      <w:lang w:eastAsia="ar-SA"/>
    </w:rPr>
  </w:style>
  <w:style w:type="paragraph" w:styleId="Nadpis1">
    <w:name w:val="heading 1"/>
    <w:basedOn w:val="Normln"/>
    <w:next w:val="Normln"/>
    <w:qFormat/>
    <w:rsid w:val="00891C5C"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91C5C"/>
    <w:pPr>
      <w:keepNext/>
      <w:spacing w:line="360" w:lineRule="auto"/>
      <w:ind w:left="284" w:right="396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91C5C"/>
    <w:pPr>
      <w:keepNext/>
      <w:numPr>
        <w:ilvl w:val="2"/>
        <w:numId w:val="1"/>
      </w:numPr>
      <w:spacing w:line="360" w:lineRule="auto"/>
      <w:ind w:left="0" w:right="567" w:firstLine="0"/>
      <w:jc w:val="both"/>
      <w:outlineLvl w:val="2"/>
    </w:pPr>
    <w:rPr>
      <w:sz w:val="28"/>
      <w:u w:val="single"/>
    </w:rPr>
  </w:style>
  <w:style w:type="paragraph" w:styleId="Nadpis4">
    <w:name w:val="heading 4"/>
    <w:basedOn w:val="Normln"/>
    <w:next w:val="Normln"/>
    <w:qFormat/>
    <w:rsid w:val="00891C5C"/>
    <w:pPr>
      <w:keepNext/>
      <w:spacing w:line="360" w:lineRule="auto"/>
      <w:ind w:left="2124" w:right="567" w:firstLine="708"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891C5C"/>
    <w:pPr>
      <w:keepNext/>
      <w:spacing w:line="360" w:lineRule="auto"/>
      <w:ind w:left="284" w:right="567"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rsid w:val="00891C5C"/>
    <w:pPr>
      <w:keepNext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891C5C"/>
    <w:pPr>
      <w:keepNext/>
      <w:spacing w:line="360" w:lineRule="auto"/>
      <w:ind w:right="-852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891C5C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891C5C"/>
    <w:pPr>
      <w:keepNext/>
      <w:outlineLvl w:val="8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891C5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891C5C"/>
    <w:rPr>
      <w:rFonts w:ascii="Courier New" w:hAnsi="Courier New"/>
    </w:rPr>
  </w:style>
  <w:style w:type="character" w:customStyle="1" w:styleId="WW8Num2z2">
    <w:name w:val="WW8Num2z2"/>
    <w:rsid w:val="00891C5C"/>
    <w:rPr>
      <w:rFonts w:ascii="Wingdings" w:hAnsi="Wingdings"/>
    </w:rPr>
  </w:style>
  <w:style w:type="character" w:customStyle="1" w:styleId="WW8Num2z3">
    <w:name w:val="WW8Num2z3"/>
    <w:rsid w:val="00891C5C"/>
    <w:rPr>
      <w:rFonts w:ascii="Symbol" w:hAnsi="Symbol"/>
    </w:rPr>
  </w:style>
  <w:style w:type="character" w:customStyle="1" w:styleId="WW8Num4z0">
    <w:name w:val="WW8Num4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891C5C"/>
    <w:rPr>
      <w:rFonts w:ascii="Times New Roman" w:hAnsi="Times New Roman"/>
      <w:b w:val="0"/>
      <w:i w:val="0"/>
      <w:sz w:val="24"/>
      <w:u w:val="single"/>
    </w:rPr>
  </w:style>
  <w:style w:type="character" w:customStyle="1" w:styleId="WW8Num7z0">
    <w:name w:val="WW8Num7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sid w:val="00891C5C"/>
    <w:rPr>
      <w:rFonts w:ascii="Times New Roman" w:hAnsi="Times New Roman"/>
      <w:b w:val="0"/>
      <w:i w:val="0"/>
      <w:sz w:val="28"/>
      <w:u w:val="single"/>
    </w:rPr>
  </w:style>
  <w:style w:type="character" w:customStyle="1" w:styleId="WW8Num13z0">
    <w:name w:val="WW8Num13z0"/>
    <w:rsid w:val="00891C5C"/>
    <w:rPr>
      <w:rFonts w:ascii="Times New Roman" w:hAnsi="Times New Roman"/>
      <w:b w:val="0"/>
      <w:i w:val="0"/>
      <w:sz w:val="24"/>
      <w:u w:val="single"/>
    </w:rPr>
  </w:style>
  <w:style w:type="character" w:customStyle="1" w:styleId="WW8Num14z0">
    <w:name w:val="WW8Num14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16z0">
    <w:name w:val="WW8Num16z0"/>
    <w:rsid w:val="00891C5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91C5C"/>
    <w:rPr>
      <w:rFonts w:ascii="Courier New" w:hAnsi="Courier New"/>
    </w:rPr>
  </w:style>
  <w:style w:type="character" w:customStyle="1" w:styleId="WW8Num16z2">
    <w:name w:val="WW8Num16z2"/>
    <w:rsid w:val="00891C5C"/>
    <w:rPr>
      <w:rFonts w:ascii="Wingdings" w:hAnsi="Wingdings"/>
    </w:rPr>
  </w:style>
  <w:style w:type="character" w:customStyle="1" w:styleId="WW8Num16z3">
    <w:name w:val="WW8Num16z3"/>
    <w:rsid w:val="00891C5C"/>
    <w:rPr>
      <w:rFonts w:ascii="Symbol" w:hAnsi="Symbol"/>
    </w:rPr>
  </w:style>
  <w:style w:type="character" w:customStyle="1" w:styleId="WW8Num20z0">
    <w:name w:val="WW8Num20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21z0">
    <w:name w:val="WW8Num21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WW8Num22z0">
    <w:name w:val="WW8Num22z0"/>
    <w:rsid w:val="00891C5C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891C5C"/>
    <w:rPr>
      <w:rFonts w:ascii="Courier New" w:hAnsi="Courier New"/>
    </w:rPr>
  </w:style>
  <w:style w:type="character" w:customStyle="1" w:styleId="WW8Num22z2">
    <w:name w:val="WW8Num22z2"/>
    <w:rsid w:val="00891C5C"/>
    <w:rPr>
      <w:rFonts w:ascii="Wingdings" w:hAnsi="Wingdings"/>
    </w:rPr>
  </w:style>
  <w:style w:type="character" w:customStyle="1" w:styleId="WW8Num22z3">
    <w:name w:val="WW8Num22z3"/>
    <w:rsid w:val="00891C5C"/>
    <w:rPr>
      <w:rFonts w:ascii="Symbol" w:hAnsi="Symbol"/>
    </w:rPr>
  </w:style>
  <w:style w:type="character" w:customStyle="1" w:styleId="WW8Num23z0">
    <w:name w:val="WW8Num23z0"/>
    <w:rsid w:val="00891C5C"/>
    <w:rPr>
      <w:rFonts w:ascii="Times New Roman" w:hAnsi="Times New Roman"/>
      <w:b w:val="0"/>
      <w:i w:val="0"/>
      <w:sz w:val="24"/>
      <w:u w:val="single"/>
    </w:rPr>
  </w:style>
  <w:style w:type="character" w:customStyle="1" w:styleId="WW8Num25z0">
    <w:name w:val="WW8Num25z0"/>
    <w:rsid w:val="00891C5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891C5C"/>
    <w:rPr>
      <w:rFonts w:ascii="Courier New" w:hAnsi="Courier New"/>
    </w:rPr>
  </w:style>
  <w:style w:type="character" w:customStyle="1" w:styleId="WW8Num25z2">
    <w:name w:val="WW8Num25z2"/>
    <w:rsid w:val="00891C5C"/>
    <w:rPr>
      <w:rFonts w:ascii="Wingdings" w:hAnsi="Wingdings"/>
    </w:rPr>
  </w:style>
  <w:style w:type="character" w:customStyle="1" w:styleId="WW8Num25z3">
    <w:name w:val="WW8Num25z3"/>
    <w:rsid w:val="00891C5C"/>
    <w:rPr>
      <w:rFonts w:ascii="Symbol" w:hAnsi="Symbol"/>
    </w:rPr>
  </w:style>
  <w:style w:type="character" w:customStyle="1" w:styleId="WW8Num26z0">
    <w:name w:val="WW8Num26z0"/>
    <w:rsid w:val="00891C5C"/>
    <w:rPr>
      <w:rFonts w:ascii="Times New Roman" w:hAnsi="Times New Roman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891C5C"/>
  </w:style>
  <w:style w:type="character" w:styleId="slostrnky">
    <w:name w:val="page number"/>
    <w:basedOn w:val="Standardnpsmoodstavce1"/>
    <w:semiHidden/>
    <w:rsid w:val="00891C5C"/>
  </w:style>
  <w:style w:type="paragraph" w:customStyle="1" w:styleId="Nadpis">
    <w:name w:val="Nadpis"/>
    <w:basedOn w:val="Normln"/>
    <w:next w:val="Zkladntext"/>
    <w:rsid w:val="00891C5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891C5C"/>
    <w:pPr>
      <w:spacing w:line="360" w:lineRule="auto"/>
    </w:pPr>
    <w:rPr>
      <w:sz w:val="24"/>
    </w:rPr>
  </w:style>
  <w:style w:type="paragraph" w:styleId="Seznam">
    <w:name w:val="List"/>
    <w:basedOn w:val="Zkladntext"/>
    <w:semiHidden/>
    <w:rsid w:val="00891C5C"/>
    <w:rPr>
      <w:rFonts w:cs="Tahoma"/>
    </w:rPr>
  </w:style>
  <w:style w:type="paragraph" w:customStyle="1" w:styleId="Popisek">
    <w:name w:val="Popisek"/>
    <w:basedOn w:val="Normln"/>
    <w:rsid w:val="00891C5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891C5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891C5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91C5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891C5C"/>
    <w:pPr>
      <w:ind w:left="360"/>
    </w:pPr>
    <w:rPr>
      <w:sz w:val="24"/>
    </w:rPr>
  </w:style>
  <w:style w:type="paragraph" w:customStyle="1" w:styleId="Textvbloku1">
    <w:name w:val="Text v bloku1"/>
    <w:basedOn w:val="Normln"/>
    <w:rsid w:val="00891C5C"/>
    <w:pPr>
      <w:spacing w:line="360" w:lineRule="auto"/>
      <w:ind w:left="284" w:right="567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891C5C"/>
    <w:pPr>
      <w:ind w:right="567" w:firstLine="708"/>
      <w:jc w:val="both"/>
    </w:pPr>
    <w:rPr>
      <w:sz w:val="22"/>
    </w:rPr>
  </w:style>
  <w:style w:type="paragraph" w:customStyle="1" w:styleId="Zkladntext21">
    <w:name w:val="Základní text 21"/>
    <w:basedOn w:val="Normln"/>
    <w:rsid w:val="00891C5C"/>
    <w:pPr>
      <w:ind w:right="397"/>
    </w:pPr>
    <w:rPr>
      <w:sz w:val="22"/>
    </w:rPr>
  </w:style>
  <w:style w:type="paragraph" w:customStyle="1" w:styleId="Zkladntextodsazen31">
    <w:name w:val="Základní text odsazený 31"/>
    <w:basedOn w:val="Normln"/>
    <w:rsid w:val="00891C5C"/>
    <w:pPr>
      <w:ind w:right="-1" w:firstLine="708"/>
    </w:pPr>
    <w:rPr>
      <w:sz w:val="22"/>
    </w:rPr>
  </w:style>
  <w:style w:type="paragraph" w:customStyle="1" w:styleId="Zkladntext31">
    <w:name w:val="Základní text 31"/>
    <w:basedOn w:val="Normln"/>
    <w:rsid w:val="00891C5C"/>
    <w:pPr>
      <w:ind w:right="567"/>
      <w:jc w:val="both"/>
    </w:pPr>
    <w:rPr>
      <w:sz w:val="22"/>
    </w:rPr>
  </w:style>
  <w:style w:type="paragraph" w:customStyle="1" w:styleId="Techzprtext">
    <w:name w:val="Techzprtext"/>
    <w:basedOn w:val="Normln"/>
    <w:rsid w:val="00891C5C"/>
    <w:pPr>
      <w:tabs>
        <w:tab w:val="left" w:pos="1701"/>
        <w:tab w:val="left" w:pos="1843"/>
        <w:tab w:val="left" w:pos="6096"/>
        <w:tab w:val="left" w:pos="7938"/>
        <w:tab w:val="left" w:pos="9072"/>
        <w:tab w:val="left" w:pos="11766"/>
      </w:tabs>
      <w:ind w:right="-851" w:firstLine="709"/>
      <w:jc w:val="both"/>
    </w:pPr>
    <w:rPr>
      <w:color w:val="0000FF"/>
      <w:sz w:val="22"/>
    </w:rPr>
  </w:style>
  <w:style w:type="paragraph" w:customStyle="1" w:styleId="font5">
    <w:name w:val="font5"/>
    <w:basedOn w:val="Normln"/>
    <w:rsid w:val="00891C5C"/>
    <w:pPr>
      <w:spacing w:before="100" w:after="100"/>
    </w:pPr>
    <w:rPr>
      <w:rFonts w:ascii="Symbol" w:eastAsia="Arial Unicode MS" w:hAnsi="Symbol" w:cs="Arial Unicode MS"/>
    </w:rPr>
  </w:style>
  <w:style w:type="paragraph" w:customStyle="1" w:styleId="font6">
    <w:name w:val="font6"/>
    <w:basedOn w:val="Normln"/>
    <w:rsid w:val="00891C5C"/>
    <w:pPr>
      <w:spacing w:before="100" w:after="100"/>
    </w:pPr>
    <w:rPr>
      <w:rFonts w:eastAsia="Arial Unicode MS"/>
      <w:sz w:val="24"/>
      <w:szCs w:val="24"/>
    </w:rPr>
  </w:style>
  <w:style w:type="paragraph" w:customStyle="1" w:styleId="font7">
    <w:name w:val="font7"/>
    <w:basedOn w:val="Normln"/>
    <w:rsid w:val="00891C5C"/>
    <w:pPr>
      <w:spacing w:before="100" w:after="100"/>
    </w:pPr>
    <w:rPr>
      <w:rFonts w:eastAsia="Arial Unicode MS"/>
      <w:b/>
      <w:bCs/>
      <w:sz w:val="24"/>
      <w:szCs w:val="24"/>
    </w:rPr>
  </w:style>
  <w:style w:type="paragraph" w:customStyle="1" w:styleId="xl22">
    <w:name w:val="xl22"/>
    <w:basedOn w:val="Normln"/>
    <w:rsid w:val="00891C5C"/>
    <w:pP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23">
    <w:name w:val="xl23"/>
    <w:basedOn w:val="Normln"/>
    <w:rsid w:val="00891C5C"/>
    <w:pPr>
      <w:spacing w:before="100" w:after="100"/>
    </w:pPr>
    <w:rPr>
      <w:rFonts w:eastAsia="Arial Unicode MS"/>
      <w:sz w:val="24"/>
      <w:szCs w:val="24"/>
    </w:rPr>
  </w:style>
  <w:style w:type="paragraph" w:customStyle="1" w:styleId="xl24">
    <w:name w:val="xl24"/>
    <w:basedOn w:val="Normln"/>
    <w:rsid w:val="00891C5C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5">
    <w:name w:val="xl25"/>
    <w:basedOn w:val="Normln"/>
    <w:rsid w:val="00891C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26">
    <w:name w:val="xl26"/>
    <w:basedOn w:val="Normln"/>
    <w:rsid w:val="00891C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7">
    <w:name w:val="xl27"/>
    <w:basedOn w:val="Normln"/>
    <w:rsid w:val="00891C5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8">
    <w:name w:val="xl28"/>
    <w:basedOn w:val="Normln"/>
    <w:rsid w:val="00891C5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Normln"/>
    <w:rsid w:val="00891C5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Symbol" w:eastAsia="Arial Unicode MS" w:hAnsi="Symbol" w:cs="Arial Unicode MS"/>
      <w:sz w:val="24"/>
      <w:szCs w:val="24"/>
    </w:rPr>
  </w:style>
  <w:style w:type="paragraph" w:customStyle="1" w:styleId="xl30">
    <w:name w:val="xl30"/>
    <w:basedOn w:val="Normln"/>
    <w:rsid w:val="00891C5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1">
    <w:name w:val="xl31"/>
    <w:basedOn w:val="Normln"/>
    <w:rsid w:val="00891C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b/>
      <w:bCs/>
      <w:i/>
      <w:iCs/>
      <w:sz w:val="24"/>
      <w:szCs w:val="24"/>
    </w:rPr>
  </w:style>
  <w:style w:type="paragraph" w:customStyle="1" w:styleId="xl32">
    <w:name w:val="xl32"/>
    <w:basedOn w:val="Normln"/>
    <w:rsid w:val="00891C5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Normln"/>
    <w:rsid w:val="00891C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Normln"/>
    <w:rsid w:val="00891C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 w:val="24"/>
      <w:szCs w:val="24"/>
    </w:rPr>
  </w:style>
  <w:style w:type="paragraph" w:customStyle="1" w:styleId="xl35">
    <w:name w:val="xl35"/>
    <w:basedOn w:val="Normln"/>
    <w:rsid w:val="00891C5C"/>
    <w:pPr>
      <w:pBdr>
        <w:top w:val="single" w:sz="4" w:space="0" w:color="000000"/>
        <w:left w:val="single" w:sz="4" w:space="0" w:color="000000"/>
      </w:pBd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36">
    <w:name w:val="xl36"/>
    <w:basedOn w:val="Normln"/>
    <w:rsid w:val="00891C5C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ln"/>
    <w:rsid w:val="00891C5C"/>
    <w:pPr>
      <w:spacing w:before="100" w:after="100"/>
    </w:pPr>
    <w:rPr>
      <w:rFonts w:eastAsia="Arial Unicode MS"/>
      <w:sz w:val="24"/>
      <w:szCs w:val="24"/>
    </w:rPr>
  </w:style>
  <w:style w:type="paragraph" w:customStyle="1" w:styleId="xl38">
    <w:name w:val="xl38"/>
    <w:basedOn w:val="Normln"/>
    <w:rsid w:val="00891C5C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Normln"/>
    <w:rsid w:val="00891C5C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ln"/>
    <w:rsid w:val="00891C5C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41">
    <w:name w:val="xl41"/>
    <w:basedOn w:val="Normln"/>
    <w:rsid w:val="00891C5C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pedsazen">
    <w:name w:val="předsazený"/>
    <w:basedOn w:val="Normln"/>
    <w:rsid w:val="00FA2BA2"/>
    <w:pPr>
      <w:ind w:left="113" w:hanging="113"/>
    </w:pPr>
    <w:rPr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91D3F"/>
    <w:rPr>
      <w:rFonts w:ascii="Arial" w:eastAsia="Calibri" w:hAnsi="Arial" w:cs="Arial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91D3F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991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     ATZ K11 SEPAP</vt:lpstr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     ATZ K11 SEPAP</dc:title>
  <dc:creator>Ivan Petrtýl</dc:creator>
  <cp:lastModifiedBy>Tata</cp:lastModifiedBy>
  <cp:revision>6</cp:revision>
  <cp:lastPrinted>2018-04-17T17:35:00Z</cp:lastPrinted>
  <dcterms:created xsi:type="dcterms:W3CDTF">2018-04-11T08:28:00Z</dcterms:created>
  <dcterms:modified xsi:type="dcterms:W3CDTF">2018-04-17T17:36:00Z</dcterms:modified>
</cp:coreProperties>
</file>